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pPr>
      <w:bookmarkStart w:id="0" w:name="PO_part2Table7"/>
    </w:p>
    <w:tbl>
      <w:tblPr>
        <w:tblStyle w:val="3"/>
        <w:tblW w:w="14174" w:type="dxa"/>
        <w:tblInd w:w="0" w:type="dxa"/>
        <w:tblLayout w:type="fixed"/>
        <w:tblCellMar>
          <w:top w:w="0" w:type="dxa"/>
          <w:left w:w="108" w:type="dxa"/>
          <w:bottom w:w="0" w:type="dxa"/>
          <w:right w:w="108" w:type="dxa"/>
        </w:tblCellMar>
      </w:tblPr>
      <w:tblGrid>
        <w:gridCol w:w="1232"/>
        <w:gridCol w:w="1182"/>
        <w:gridCol w:w="1170"/>
        <w:gridCol w:w="1215"/>
        <w:gridCol w:w="1230"/>
        <w:gridCol w:w="1088"/>
        <w:gridCol w:w="1355"/>
        <w:gridCol w:w="1134"/>
        <w:gridCol w:w="992"/>
        <w:gridCol w:w="47"/>
        <w:gridCol w:w="1073"/>
        <w:gridCol w:w="1140"/>
        <w:gridCol w:w="1316"/>
      </w:tblGrid>
      <w:tr>
        <w:tblPrEx>
          <w:tblLayout w:type="fixed"/>
          <w:tblCellMar>
            <w:top w:w="0" w:type="dxa"/>
            <w:left w:w="108" w:type="dxa"/>
            <w:bottom w:w="0" w:type="dxa"/>
            <w:right w:w="108" w:type="dxa"/>
          </w:tblCellMar>
        </w:tblPrEx>
        <w:trPr>
          <w:trHeight w:val="600" w:hRule="atLeast"/>
          <w:tblHeader/>
        </w:trPr>
        <w:tc>
          <w:tcPr>
            <w:tcW w:w="14174" w:type="dxa"/>
            <w:gridSpan w:val="13"/>
            <w:shd w:val="clear" w:color="auto" w:fill="FFFFFF"/>
            <w:noWrap w:val="0"/>
            <w:vAlign w:val="center"/>
          </w:tcPr>
          <w:p>
            <w:pPr>
              <w:widowControl/>
              <w:jc w:val="center"/>
              <w:rPr>
                <w:rFonts w:ascii="华文中宋" w:hAnsi="华文中宋" w:eastAsia="华文中宋" w:cs="宋体"/>
                <w:kern w:val="0"/>
                <w:sz w:val="32"/>
                <w:szCs w:val="32"/>
              </w:rPr>
            </w:pPr>
            <w:bookmarkStart w:id="2" w:name="_GoBack"/>
            <w:r>
              <w:rPr>
                <w:rFonts w:hint="eastAsia" w:ascii="华文中宋" w:hAnsi="华文中宋" w:eastAsia="华文中宋" w:cs="宋体"/>
                <w:kern w:val="0"/>
                <w:sz w:val="32"/>
                <w:szCs w:val="32"/>
              </w:rPr>
              <w:t>一般公共预算财政拨款“三公”经费支出决算表</w:t>
            </w:r>
            <w:bookmarkEnd w:id="2"/>
          </w:p>
        </w:tc>
      </w:tr>
      <w:tr>
        <w:tblPrEx>
          <w:tblLayout w:type="fixed"/>
          <w:tblCellMar>
            <w:top w:w="0" w:type="dxa"/>
            <w:left w:w="108" w:type="dxa"/>
            <w:bottom w:w="0" w:type="dxa"/>
            <w:right w:w="108" w:type="dxa"/>
          </w:tblCellMar>
        </w:tblPrEx>
        <w:trPr>
          <w:trHeight w:val="48" w:hRule="atLeast"/>
          <w:tblHeader/>
        </w:trPr>
        <w:tc>
          <w:tcPr>
            <w:tcW w:w="14174" w:type="dxa"/>
            <w:gridSpan w:val="13"/>
            <w:noWrap w:val="0"/>
            <w:vAlign w:val="center"/>
          </w:tcPr>
          <w:p>
            <w:pPr>
              <w:widowControl/>
              <w:jc w:val="right"/>
              <w:rPr>
                <w:rFonts w:ascii="宋体" w:hAnsi="宋体" w:cs="宋体"/>
                <w:kern w:val="0"/>
                <w:sz w:val="22"/>
                <w:szCs w:val="22"/>
              </w:rPr>
            </w:pPr>
            <w:r>
              <w:rPr>
                <w:rFonts w:hint="eastAsia" w:ascii="宋体" w:hAnsi="宋体" w:cs="宋体"/>
                <w:kern w:val="0"/>
                <w:sz w:val="20"/>
                <w:szCs w:val="20"/>
              </w:rPr>
              <w:t>公开07表</w:t>
            </w:r>
          </w:p>
        </w:tc>
      </w:tr>
      <w:tr>
        <w:tblPrEx>
          <w:tblLayout w:type="fixed"/>
          <w:tblCellMar>
            <w:top w:w="0" w:type="dxa"/>
            <w:left w:w="108" w:type="dxa"/>
            <w:bottom w:w="0" w:type="dxa"/>
            <w:right w:w="108" w:type="dxa"/>
          </w:tblCellMar>
        </w:tblPrEx>
        <w:trPr>
          <w:trHeight w:val="48" w:hRule="atLeast"/>
          <w:tblHeader/>
        </w:trPr>
        <w:tc>
          <w:tcPr>
            <w:tcW w:w="10645" w:type="dxa"/>
            <w:gridSpan w:val="10"/>
            <w:tcBorders>
              <w:bottom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0"/>
                <w:szCs w:val="20"/>
              </w:rPr>
              <w:t>部门：</w:t>
            </w:r>
            <w:bookmarkStart w:id="1" w:name="PO_part2Table7DivName1"/>
            <w:r>
              <w:rPr>
                <w:rFonts w:hint="eastAsia" w:ascii="宋体" w:hAnsi="宋体" w:cs="宋体"/>
                <w:kern w:val="0"/>
                <w:sz w:val="20"/>
                <w:szCs w:val="20"/>
              </w:rPr>
              <w:t xml:space="preserve"> 鹤山市水务局（含下属单位）</w:t>
            </w:r>
            <w:r>
              <w:rPr>
                <w:rFonts w:ascii="宋体" w:hAnsi="宋体" w:cs="宋体"/>
                <w:kern w:val="0"/>
                <w:sz w:val="20"/>
                <w:szCs w:val="20"/>
              </w:rPr>
              <w:t xml:space="preserve"> </w:t>
            </w:r>
            <w:bookmarkEnd w:id="1"/>
          </w:p>
        </w:tc>
        <w:tc>
          <w:tcPr>
            <w:tcW w:w="3529" w:type="dxa"/>
            <w:gridSpan w:val="3"/>
            <w:tcBorders>
              <w:bottom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559" w:hRule="atLeast"/>
          <w:tblHeader/>
        </w:trPr>
        <w:tc>
          <w:tcPr>
            <w:tcW w:w="7117"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预算数</w:t>
            </w:r>
          </w:p>
        </w:tc>
        <w:tc>
          <w:tcPr>
            <w:tcW w:w="705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决算数</w:t>
            </w:r>
          </w:p>
        </w:tc>
      </w:tr>
      <w:tr>
        <w:tblPrEx>
          <w:tblLayout w:type="fixed"/>
          <w:tblCellMar>
            <w:top w:w="0" w:type="dxa"/>
            <w:left w:w="108" w:type="dxa"/>
            <w:bottom w:w="0" w:type="dxa"/>
            <w:right w:w="108" w:type="dxa"/>
          </w:tblCellMar>
        </w:tblPrEx>
        <w:trPr>
          <w:trHeight w:val="600" w:hRule="atLeast"/>
          <w:tblHeader/>
        </w:trPr>
        <w:tc>
          <w:tcPr>
            <w:tcW w:w="1232"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11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1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08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355" w:type="dxa"/>
            <w:vMerge w:val="restart"/>
            <w:tcBorders>
              <w:top w:val="nil"/>
              <w:left w:val="nil"/>
              <w:bottom w:val="single" w:color="000000"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113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25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316"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blHeader/>
        </w:trPr>
        <w:tc>
          <w:tcPr>
            <w:tcW w:w="1232"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宋体" w:hAnsi="宋体" w:cs="宋体"/>
                <w:kern w:val="0"/>
                <w:sz w:val="22"/>
                <w:szCs w:val="22"/>
              </w:rPr>
            </w:pPr>
          </w:p>
        </w:tc>
        <w:tc>
          <w:tcPr>
            <w:tcW w:w="11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2"/>
                <w:szCs w:val="22"/>
              </w:rPr>
            </w:pPr>
          </w:p>
        </w:tc>
        <w:tc>
          <w:tcPr>
            <w:tcW w:w="11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12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szCs w:val="22"/>
              </w:rPr>
            </w:pPr>
          </w:p>
        </w:tc>
        <w:tc>
          <w:tcPr>
            <w:tcW w:w="1355" w:type="dxa"/>
            <w:vMerge w:val="continue"/>
            <w:tcBorders>
              <w:top w:val="nil"/>
              <w:left w:val="nil"/>
              <w:bottom w:val="single" w:color="000000" w:sz="4" w:space="0"/>
              <w:right w:val="single" w:color="auto" w:sz="4" w:space="0"/>
            </w:tcBorders>
            <w:noWrap w:val="0"/>
            <w:vAlign w:val="center"/>
          </w:tcPr>
          <w:p>
            <w:pPr>
              <w:widowControl/>
              <w:jc w:val="left"/>
              <w:rPr>
                <w:rFonts w:ascii="宋体" w:hAnsi="宋体" w:cs="宋体"/>
                <w:kern w:val="0"/>
                <w:sz w:val="22"/>
                <w:szCs w:val="22"/>
              </w:rPr>
            </w:pPr>
          </w:p>
        </w:tc>
        <w:tc>
          <w:tcPr>
            <w:tcW w:w="113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2"/>
                <w:szCs w:val="22"/>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11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316"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44" w:hRule="atLeast"/>
          <w:tblHeader/>
        </w:trPr>
        <w:tc>
          <w:tcPr>
            <w:tcW w:w="1232"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18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1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2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2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8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35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1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316" w:type="dxa"/>
            <w:tcBorders>
              <w:top w:val="nil"/>
              <w:left w:val="nil"/>
              <w:bottom w:val="single" w:color="auto" w:sz="4" w:space="0"/>
              <w:right w:val="single" w:color="auto" w:sz="8"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cantSplit/>
          <w:trHeight w:val="572" w:hRule="atLeast"/>
        </w:trPr>
        <w:tc>
          <w:tcPr>
            <w:tcW w:w="1232" w:type="dxa"/>
            <w:tcBorders>
              <w:top w:val="nil"/>
              <w:left w:val="single" w:color="auto" w:sz="8" w:space="0"/>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47.24</w:t>
            </w:r>
          </w:p>
        </w:tc>
        <w:tc>
          <w:tcPr>
            <w:tcW w:w="1182"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0.00</w:t>
            </w:r>
          </w:p>
        </w:tc>
        <w:tc>
          <w:tcPr>
            <w:tcW w:w="1170"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13.70</w:t>
            </w:r>
          </w:p>
        </w:tc>
        <w:tc>
          <w:tcPr>
            <w:tcW w:w="1215"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0.00</w:t>
            </w:r>
          </w:p>
        </w:tc>
        <w:tc>
          <w:tcPr>
            <w:tcW w:w="1230"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13.70</w:t>
            </w:r>
          </w:p>
        </w:tc>
        <w:tc>
          <w:tcPr>
            <w:tcW w:w="1088"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33.54</w:t>
            </w:r>
          </w:p>
        </w:tc>
        <w:tc>
          <w:tcPr>
            <w:tcW w:w="1355"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40.33</w:t>
            </w:r>
          </w:p>
        </w:tc>
        <w:tc>
          <w:tcPr>
            <w:tcW w:w="1134"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0.00</w:t>
            </w:r>
          </w:p>
        </w:tc>
        <w:tc>
          <w:tcPr>
            <w:tcW w:w="992" w:type="dxa"/>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13.38</w:t>
            </w:r>
          </w:p>
        </w:tc>
        <w:tc>
          <w:tcPr>
            <w:tcW w:w="1120" w:type="dxa"/>
            <w:gridSpan w:val="2"/>
            <w:tcBorders>
              <w:top w:val="nil"/>
              <w:left w:val="nil"/>
              <w:bottom w:val="single" w:color="auto" w:sz="8" w:space="0"/>
              <w:right w:val="single" w:color="auto" w:sz="4" w:space="0"/>
            </w:tcBorders>
            <w:noWrap w:val="0"/>
            <w:vAlign w:val="center"/>
          </w:tcPr>
          <w:p>
            <w:pPr>
              <w:widowControl/>
              <w:jc w:val="right"/>
              <w:rPr>
                <w:rFonts w:ascii="宋体" w:hAnsi="宋体" w:cs="宋体"/>
                <w:kern w:val="0"/>
                <w:sz w:val="24"/>
              </w:rPr>
            </w:pPr>
            <w:r>
              <w:rPr>
                <w:rFonts w:hint="eastAsia" w:ascii="宋体" w:hAnsi="宋体" w:cs="宋体"/>
                <w:kern w:val="0"/>
                <w:sz w:val="24"/>
              </w:rPr>
              <w:t>0.00</w:t>
            </w:r>
          </w:p>
        </w:tc>
        <w:tc>
          <w:tcPr>
            <w:tcW w:w="1140" w:type="dxa"/>
            <w:tcBorders>
              <w:top w:val="nil"/>
              <w:left w:val="nil"/>
              <w:bottom w:val="single" w:color="auto" w:sz="8" w:space="0"/>
              <w:right w:val="nil"/>
            </w:tcBorders>
            <w:noWrap w:val="0"/>
            <w:vAlign w:val="center"/>
          </w:tcPr>
          <w:p>
            <w:pPr>
              <w:widowControl/>
              <w:jc w:val="right"/>
              <w:rPr>
                <w:rFonts w:ascii="宋体" w:hAnsi="宋体" w:cs="宋体"/>
                <w:kern w:val="0"/>
                <w:sz w:val="24"/>
              </w:rPr>
            </w:pPr>
            <w:r>
              <w:rPr>
                <w:rFonts w:hint="eastAsia" w:ascii="宋体" w:hAnsi="宋体" w:cs="宋体"/>
                <w:kern w:val="0"/>
                <w:sz w:val="24"/>
              </w:rPr>
              <w:t>13.38</w:t>
            </w:r>
          </w:p>
        </w:tc>
        <w:tc>
          <w:tcPr>
            <w:tcW w:w="1316" w:type="dxa"/>
            <w:tcBorders>
              <w:top w:val="nil"/>
              <w:left w:val="single" w:color="auto" w:sz="4" w:space="0"/>
              <w:bottom w:val="single" w:color="auto" w:sz="8" w:space="0"/>
              <w:right w:val="single" w:color="auto" w:sz="8" w:space="0"/>
            </w:tcBorders>
            <w:noWrap w:val="0"/>
            <w:vAlign w:val="center"/>
          </w:tcPr>
          <w:p>
            <w:pPr>
              <w:widowControl/>
              <w:jc w:val="right"/>
              <w:rPr>
                <w:rFonts w:ascii="宋体" w:hAnsi="宋体" w:cs="宋体"/>
                <w:kern w:val="0"/>
                <w:sz w:val="24"/>
              </w:rPr>
            </w:pPr>
            <w:r>
              <w:rPr>
                <w:rFonts w:hint="eastAsia" w:ascii="宋体" w:hAnsi="宋体" w:cs="宋体"/>
                <w:kern w:val="0"/>
                <w:sz w:val="24"/>
              </w:rPr>
              <w:t>26.95</w:t>
            </w:r>
          </w:p>
        </w:tc>
      </w:tr>
    </w:tbl>
    <w:p>
      <w:pPr>
        <w:spacing w:line="288" w:lineRule="auto"/>
      </w:pPr>
      <w:r>
        <w:rPr>
          <w:rFonts w:hint="eastAsia" w:ascii="仿宋_GB2312" w:eastAsia="仿宋_GB2312"/>
          <w:sz w:val="28"/>
          <w:szCs w:val="28"/>
        </w:rPr>
        <w:t xml:space="preserve">注：本表反映部门本年度财政拨款“三公”经费支出情况。其中，预算数为“三公”经费年初预算数，决算数是包括当年一般公共预算财政拨款和以前年度结转资金安排的实际支出。 </w:t>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A1931"/>
    <w:rsid w:val="399A193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2018-11-26T09:30:00Z</dcterms:created>
  <dc:creator>Administrator</dc:creator>
  <cp:lastModifiedBy>Administrator</cp:lastModifiedBy>
  <dcterms:modified xsi:type="dcterms:W3CDTF">2018-11-26T09:30:49Z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